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48</w:t>
      </w:r>
    </w:p>
    <w:p>
      <w:r>
        <w:t>Bundesgericht (BGE), 2015-12-16, FR</w:t>
      </w:r>
    </w:p>
    <w:p>
      <w:r>
        <w:rPr>
          <w:b/>
        </w:rPr>
        <w:t xml:space="preserve">Quelle: </w:t>
      </w:r>
      <w:r>
        <w:t>https://mcp.opencaselaw.ch/entscheid/bge_142 III 48</w:t>
      </w:r>
    </w:p>
    <w:p>
      <w:r>
        <w:t>FR: ATF 142 III 48</w:t>
      </w:r>
    </w:p>
    <w:p>
      <w:r>
        <w:t>IT: DTF 142 III 48</w:t>
      </w:r>
    </w:p>
    <w:p>
      <w:pPr>
        <w:pStyle w:val="Heading2"/>
      </w:pPr>
      <w:r>
        <w:t>Regeste</w:t>
      </w:r>
    </w:p>
    <w:p>
      <w:r>
        <w:t>Regeste Art. 29 Abs. 2 BV sowie Art. 53 Abs. 1 und Art. 317 Abs. 2 in Verbindung mit Art. 227 Abs. 1 ZPO; Zustellung einer Eingabe, die eine Klageänderung enthält; Anspruch der Gegenpartei auf rechtliches Gehör. Erweitert eine Partei, nachdem sie Berufung erhoben hat, mit einer neuen Eingabe ihre Rechtsbegehren, und tritt das Gericht auf diese ein, so hat es der Gegenpartei Frist zur Stellungnahme anzusetzen. Stellt das Gericht der Gegenpartei die Eingabe einzig zur Kenntnisnahme zu, verletzt es deren Anspruch auf rechtliches Gehör (E. 4).</w:t>
      </w:r>
    </w:p>
    <w:p>
      <w:pPr>
        <w:pStyle w:val="Heading2"/>
      </w:pPr>
      <w:r>
        <w:t>Erwägungen</w:t>
      </w:r>
    </w:p>
    <w:p>
      <w:r>
        <w:rPr>
          <w:b/>
        </w:rPr>
        <w:t>E. 4</w:t>
      </w:r>
    </w:p>
    <w:p>
      <w:r>
        <w:t>La question qui se pose est de savoir si l'autorité cantonale a violé le droit d'être entendu de la recourante, garanti à l' art. 29 al. 2 Cst. , en statuant sur les conclusions amplifiées de la partie intimée, fondées sur des faits nouveaux, après lui avoir transmis pour information le mémoire contenant celles-ci.</w:t>
      </w:r>
    </w:p>
    <w:p>
      <w:r>
        <w:rPr>
          <w:b/>
        </w:rPr>
        <w:t>E. 4.1.1</w:t>
      </w:r>
    </w:p>
    <w:p>
      <w:r>
        <w:t>Compris comme l'un des aspects de la notion générale de procès équitable au sens de l' art. 29 Cst. , le droit d'être entendu garantit notamment au justiciable le droit de s'expliquer avant qu'une BGE 142 III 48 S. 53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ATF 139 I 189 consid. 3.2 p. 191 s.; ATF 138 I 484 consid. 2.1 p. 485 s.; ATF 138 I 154 consid. 2.3.3 p. 157; ATF 137 I 195 consid. 2.3.1 p. 197). En procédure civile, le droit d'être entendu trouve son expression à l' art. 53 al. 1 CPC , qui reprend la formulation générale de l' art. 29 al. 2 Cst. (arrêt 5A_350/2013 du 8 juillet 2013 consid. 2.1.1, in FamPra.ch 2013 p. 1034); il confère à toute partie, parmi d'autres prérogatives, de prendre position sur toutes les écritures de la partie adverse ( ATF 138 I 484 consid. 2 p. 485; ATF 138 I 154 consid. 2.3.3 p. 157; voir aussi ATF 139 I 189 consid. 3.2 p. 191/192). Outre à l' art. 53 CPC , le droit d'être entendu trouve sa consécration dans diverses dispositions du Code. Il en va ainsi du droit de répondre, que ce soit à une demande principale ( art. 222 CPC ) ou reconventionnelle (art. 224 al. 3 in initio CPC), ou encore dans la procédure de recours ( art. 312 et 322 CPC ), et du droit de répliquer (p. ex. GEHRI, in Basler Kommentar, Schweizerische Zivilprozessordnung, 2 e éd. 2013, n° 5 ad art. 53 CPC ; JEANDIN, in CPC, Code de procédure civile commenté, 2011, n° 1 ad art. 312 CPC ; STERCHI, in Berner Kommentar, Schweizerische Zivilprozessordnung, vol. II, 2012, n° 2 ad art. 312 CPC ).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ATF 133 I 100 consid. 4.5, ATF 133 I 98 consid. 2.2; ATF 132 I 42 consid. 3.3.2-3.3.4); même si le juge renonce à ordonner un nouvel échange d'écritures, il doit néanmoins transmettre cette prise de position aux autres parties ( ATF 139 I 189 consid. 3.2; ATF 138 I 484 consid. 2.2; arrêts 2C_560/2012 du 21 janvier 2013 consid. 4.3, in RF 68/2013 p. 405; 5A_535/2012 du 6 décembre 2012 consid. 2.3; 5A_779/2010 du 1 er avril 2011 consid. 2.2, in Pra 2012 n. 1 p. 1). Secondement, le juge BGE 142 III 48 S. 54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138 I 484 consid. 2.4; arrêt 2C_560/2012 du 21 janvier 2013 consid. 4.4 et les références, in RF 68/2013 p. 405).</w:t>
      </w:r>
    </w:p>
    <w:p>
      <w:r>
        <w:rPr>
          <w:b/>
        </w:rPr>
        <w:t>E. 4.1.2</w:t>
      </w:r>
    </w:p>
    <w:p>
      <w:r>
        <w:t>Selon l' art. 317 al. 2 CPC la demande ne peut être modifiée en appel que si les conditions fixées à l' art. 227 al. 1 CPC sont remplies (let. a) et que la modification repose sur des faits ou des moyens de preuve nouveaux (let. b). Le juge d'appel statue d'office sur la recevabilité des conclusions modifiées ( art. 60 CPC ). A tout le moins en tant qu'il envisage de les prendre en considération, la partie adverse doit avoir l'occasion, en vertu de son droit d'être entendue, de se déterminer auparavant (cf. KILLIAS, in Berner Kommentar, Schweizerische Zivilprozessordnung, vol. II, 2012, n° 24 ad art. 227 CPC ; REETZ/HILBER, in Kommentar zur Schweizerischen Zivilprozessordnung [ZPO], Sutter-Somm et al. [éd.], 2 e éd. 2013, n° 77 ad art. 317 CPC ; SEILER, Die Berufung nach ZPO, 2013, n. 1417 p. 612; WILLISEGGER, in Basler Kommentar, Schweizerische Zivilprozessordnung, 2 e éd. 2013, n° 54 ad art. 227 CPC ). Quant à la forme de cette détermination, elle doit suivre dans leur principe, en raison de la modification substantielle des conclusions sur laquelle la partie adverse n'a encore jamais eu l'occasion de se déterminer, les règles du droit de réponse. Il ne s'agit ni d'un deuxième échange d'écritures que le juge d'appel est libre d'ordonner ( art. 316 al. 2 CPC ), ni de l'exercice du droit de réplique qu'il doit respecter. Le juge d'appel ne peut dès lors se limiter à transmettre la demande modifiée pour information à la partie adverse. Il doit le faire en fixant à cette partie un délai pour se déterminer par écrit.</w:t>
      </w:r>
    </w:p>
    <w:p>
      <w:r>
        <w:rPr>
          <w:b/>
        </w:rPr>
        <w:t>E. 4.2</w:t>
      </w:r>
    </w:p>
    <w:p>
      <w:r>
        <w:t>En l'espèce, le mémoire du 12 mars 2015 de l'intimé contenait des conclusions amplifiées, au regard de celles prises au pied de son écriture d'appel du 4 décembre 2014. Il n'est pas contesté qu'il s'agit là d'une modification des conclusions prises en procédure d'appel au sens de l' art. 317 al. 2 CPC , sur laquelle l'autorité cantonale est BGE 142 III 48 S. 55 entrée en matière. L'intimé a en outre produit des pièces nouvelles à l'appui de ses conclusions, lesquelles ont également été admises à la procédure. Ainsi, il faut admettre que le droit d'être entendu de la recourante a effectivement été violé en l'espèce puisqu'aucun délai pour répondre ne lui a été fixé.</w:t>
      </w:r>
    </w:p>
    <w:p>
      <w:r>
        <w:rPr>
          <w:b/>
        </w:rPr>
        <w:t>E. 4.3</w:t>
      </w:r>
    </w:p>
    <w:p>
      <w:r>
        <w:t>Le Tribunal fédéral peut exceptionnellement réparer une violation du droit d'être entendu s'il dispose d'un libre pouvoir de cognition, autrement dit lorsque seules des questions de droit demeurent litigieuses ( ATF 133 I 201 consid. 2.2 p. 204; arrêt 5A_503/2010 du 28 mars 2011 consid. 2.4), et qu'il n'en résulte aucun préjudice pour le justiciable ( ATF 136 III 174 consid. 5.1.2 p. 177 a contrario). En l'espèce, la violation du droit d'être entendu ne peut pas être guérie dans la présente procédure de recours: la recourante se plaint en effet de l'application du droit fédéral à l'aune notamment de la situation de l'espèce et de pièces nouvelles irrecevables en instance fédérale, étant pour le surplus rappelé que le Tribunal fédéral ne revoit pas librement les faits ( art. 97 et 105 LTF ). Il s'ensuit que le sort du présent recours est scellé, sans qu'il soit besoin d'examiner les autres griefs de la recourante.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